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202203012102</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深圳市裕丰瑞博科技有限公司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91440300MA5GUYXH6C</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深圳市南山区高新南九道45号西北工业大学三航科技大厦2102单元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18382247767</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钟晓文</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511525198706216682</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深圳市南山区高新南九道45号西北工业大学三航科技大厦2102单元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18382247767</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2102</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257.28</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2023年2月28日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2022年3月1日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2022年4月1日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40421.26</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肆万零肆佰贰拾壹圆贰角陆分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47818.06</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肆万柒仟捌佰壹拾捌圆零陆分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95636.12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玖万伍仟陆佰叁拾陆圆壹角贰分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深圳市裕丰瑞博科技有限公司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深圳市裕丰瑞博科技有限公司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18382247767</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